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SAMPLE LAND TRUST LAND PROTECTION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Our Land Trust protects land that has significant conservation value and public benefit and that generally falls into one of the following four categories.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Community and Scenic Lands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Lands that give community residents and visitors a “sense of place.”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Community and Recreational 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after="0" w:lineRule="auto"/>
        <w:ind w:left="108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Land that helps define a community’s sense of place and heritage or community character, such as a treasured vista or landscape, gateway, or historically important lands. 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after="0" w:lineRule="auto"/>
        <w:ind w:left="108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Land where people come together for a common activity, such as trails and community recreation lands.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after="0" w:lineRule="auto"/>
        <w:ind w:left="108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Lands that provide access to stream corridors and public access for swimming, paddling, fishing, and other water-related recreational opportunities.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spacing w:after="0" w:lineRule="auto"/>
        <w:ind w:left="108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Land that offers opportunity for experiential education.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spacing w:after="0" w:lineRule="auto"/>
        <w:ind w:left="108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Land with natural attributes to which the public gains substantial and meaningful legal access.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Scenic 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that is prominently visible from public lands, trails, waterways, or roadways; and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Features scenic views and/or viewsheds; and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Makes a significant contribution to the character of the town or county.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Lands with unique features and land protecting biological diversity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Land that possesses unique or valuable natural resources and contributes to biological diversity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Lands with unique features: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Undeveloped lands along streams, rivers, lakes and ponds.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Significant geological sites or outstanding water resources such as waterfalls, cliffs or gorges.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Grasslands.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Biological diversity:</w:t>
      </w:r>
      <w:r w:rsidDel="00000000" w:rsidR="00000000" w:rsidRPr="00000000">
        <w:rPr>
          <w:rFonts w:ascii="CG Omega" w:cs="CG Omega" w:eastAsia="CG Omega" w:hAnsi="CG Omeg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that offers habitat for rare, endangered, or threatened animals or plants.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quality habitat for flora and fauna, including game species.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Water protection lands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Land that protects watershed and/or water quality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lying within the aquifer protection area or recharge areas of public water supplies.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bordering a tributary of the Big River.</w:t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Working lands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-- Land that currently supports or contributes, or has the potential to support or contribute, to productive forestry and/or farming enterprises.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that supports the wood products industry.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that features prime agricultural soils or otherwise promotes agriculture.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Characteristics Enhancing Conservation Value</w:t>
      </w:r>
      <w:r w:rsidDel="00000000" w:rsidR="00000000" w:rsidRPr="00000000">
        <w:rPr>
          <w:color w:val="ff0000"/>
          <w:sz w:val="24"/>
          <w:szCs w:val="24"/>
          <w:u w:val="singl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Our Land Trust will give higher priority to land conservation projects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Consist of a single large parcel or several contiguous ones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 principles of smart growth and community and neighborhood revitalization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Contain steep slopes </w:t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threatened by imminent or near-term development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Contain lands of high conservation value that other conservation organizations are unable or unwilling to protect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Expand or buffer OLT’s protected lands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Abut state-owned protected lands</w:t>
      </w:r>
    </w:p>
    <w:p w:rsidR="00000000" w:rsidDel="00000000" w:rsidP="00000000" w:rsidRDefault="00000000" w:rsidRPr="00000000" w14:paraId="0000002E">
      <w:pPr>
        <w:tabs>
          <w:tab w:val="left" w:pos="265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Characteristics Diminishing Conservation Value</w:t>
      </w:r>
    </w:p>
    <w:p w:rsidR="00000000" w:rsidDel="00000000" w:rsidP="00000000" w:rsidRDefault="00000000" w:rsidRPr="00000000" w14:paraId="00000030">
      <w:pPr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Our Land Trust will generally not participate in conservation projects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OLT cannot feasibly maintain and/or steward – land with buildings provide special challenges for maintenance and stewardship;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do not have clear title;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Involving the retention of reserved rights, which, if exercised, would threaten or degrade conservation values;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Potentially containing hazardous wastes or other forms of contamination;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Containing degraded conservation resources that cannot feasibly be restored;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Having little or no public benefit and primarily benefit a single landowner or developer.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G Omeg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  <w:t xml:space="preserve">Source: Sample 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1"/>
    <w:pPr>
      <w:suppressAutoHyphens w:val="1"/>
      <w:spacing w:after="240" w:line="240" w:lineRule="auto"/>
      <w:ind w:left="720" w:leftChars="-1" w:rightChars="0" w:firstLineChars="-1"/>
      <w:textDirection w:val="btLr"/>
      <w:textAlignment w:val="top"/>
      <w:outlineLvl w:val="0"/>
    </w:pPr>
    <w:rPr>
      <w:rFonts w:ascii="CG Omega" w:eastAsia="Times New Roman" w:hAnsi="CG Omeg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CG Omega" w:cs="Times New Roman" w:eastAsia="Times New Roman" w:hAnsi="CG Omeg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1"/>
    <w:pPr>
      <w:suppressAutoHyphens w:val="1"/>
      <w:spacing w:after="240" w:line="240" w:lineRule="auto"/>
      <w:ind w:left="1080" w:leftChars="-1" w:rightChars="0" w:firstLineChars="-1"/>
      <w:textDirection w:val="btLr"/>
      <w:textAlignment w:val="top"/>
      <w:outlineLvl w:val="0"/>
    </w:pPr>
    <w:rPr>
      <w:rFonts w:ascii="CG Omega" w:eastAsia="Times New Roman" w:hAnsi="CG Omeg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CG Omega" w:cs="Times New Roman" w:eastAsia="Times New Roman" w:hAnsi="CG Omeg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VheatM1GsY+RxNts582gVj34g==">AMUW2mUJEcOEaI36jtMRMtvgcJ/l4cRABFgxBogtG9YM+FsS5SYjSXZV8hOH1BkfxFsw3edkn6ws/tgEo3b9cSQsxvmaOn8jfaJQN1xZW+r8LYnW0+yDJJA=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2016-05-17T17:24:00Z</dcterms:created>
  <dc:creator>Henrietta Jordan</dc:creator>
</cp:coreProperties>
</file>