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872"/>
        </w:tabs>
        <w:jc w:val="center"/>
        <w:rPr>
          <w:b w:val="1"/>
          <w:smallCaps w:val="1"/>
          <w:color w:val="4472c4"/>
          <w:sz w:val="22"/>
          <w:szCs w:val="22"/>
        </w:rPr>
      </w:pPr>
      <w:r w:rsidDel="00000000" w:rsidR="00000000" w:rsidRPr="00000000">
        <w:rPr>
          <w:b w:val="1"/>
          <w:smallCaps w:val="1"/>
          <w:color w:val="4472c4"/>
          <w:sz w:val="22"/>
          <w:szCs w:val="22"/>
          <w:rtl w:val="0"/>
        </w:rPr>
        <w:t xml:space="preserve">SAMPLE LAND TRUST</w:t>
      </w:r>
    </w:p>
    <w:p w:rsidR="00000000" w:rsidDel="00000000" w:rsidP="00000000" w:rsidRDefault="00000000" w:rsidRPr="00000000" w14:paraId="00000002">
      <w:pPr>
        <w:jc w:val="center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ACQUISITION CHECKLIST (NON-DEPT OF AGRIC.)</w:t>
      </w:r>
    </w:p>
    <w:p w:rsidR="00000000" w:rsidDel="00000000" w:rsidP="00000000" w:rsidRDefault="00000000" w:rsidRPr="00000000" w14:paraId="00000003">
      <w:pPr>
        <w:pBdr>
          <w:bottom w:color="000000" w:space="1" w:sz="18" w:val="single"/>
        </w:pBdr>
        <w:tabs>
          <w:tab w:val="left" w:pos="4020"/>
        </w:tabs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pos="9000"/>
        </w:tabs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9000"/>
        </w:tabs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900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PROJECT/GRANTOR NAME:                                                                      LEGAL INTEREST:  CE OR FEE </w:t>
      </w:r>
    </w:p>
    <w:p w:rsidR="00000000" w:rsidDel="00000000" w:rsidP="00000000" w:rsidRDefault="00000000" w:rsidRPr="00000000" w14:paraId="00000007">
      <w:pPr>
        <w:tabs>
          <w:tab w:val="left" w:pos="9000"/>
        </w:tabs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000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ab/>
        <w:tab/>
        <w:tab/>
      </w:r>
    </w:p>
    <w:tbl>
      <w:tblPr>
        <w:tblStyle w:val="Table1"/>
        <w:tblW w:w="102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17"/>
        <w:gridCol w:w="1245"/>
        <w:gridCol w:w="1155"/>
        <w:tblGridChange w:id="0">
          <w:tblGrid>
            <w:gridCol w:w="7817"/>
            <w:gridCol w:w="1245"/>
            <w:gridCol w:w="1155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tabs>
                <w:tab w:val="left" w:pos="900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PRE- ACQUISITION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tabs>
                <w:tab w:val="left" w:pos="900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900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INITIAL</w:t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Initial inquiry/communication with landowner.  Forward sample docs: (engagement letter, easement template). Explain SRF and 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Initial project research (Maps: aerial, topo, soils (ag and hydric, surrounding </w:t>
            </w:r>
          </w:p>
          <w:p w:rsidR="00000000" w:rsidDel="00000000" w:rsidP="00000000" w:rsidRDefault="00000000" w:rsidRPr="00000000" w14:paraId="00000013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properties, NDDB, GIS model)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Visual inspection of the property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Preliminary environmental investigation, transaction screen, or Phase I assessment.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Documentation that project meets conservation criteria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and public benefit of transaction. Evaluation of potential threats to the property’s conservation values and any current or potential risks associated with the project. Assessment of the project’s stewardship implications.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Title Search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and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evaluation/action on title exceptions and encumbrances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Screen for syndication transactions and obtain LCC or partnership member list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Estimate Property Tax Liability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fee only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Determination of legal description and physical boundaries of property. Assess level of survey required and need for pinning.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Independent appraisal by a qualified appraiser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purchases only)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Preview to Acquisition and Stewardship Committee and recommendation to Board of Directors, if possible, or ASC rejects project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Obtain signed engagement letter with SRF and CC included.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Recommendation that each party to the transaction obtain independent, legal, financial and tax advice. Landowner notification for those who may claim a federal or state income tax deduction (or state tax credit).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Obtain consent of LLC members or partnership, if needed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Mortgage subordination obtained, if needed, and other encumbrances addressed. Determination on whether to obtain title insurance complete.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Baseline and fee management plan data collection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Draft deed or conservation easement provided to grantor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A-2 survey complete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Acquisition and Stewardship Committee recommends project to Board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Baseline complete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Approval by outside counsel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Board approval 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tabs>
                <w:tab w:val="left" w:pos="900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CLOSING AND POST-CLOSING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tabs>
                <w:tab w:val="left" w:pos="900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tabs>
                <w:tab w:val="left" w:pos="900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INITIAL</w:t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Title update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Legal documents executed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tabs>
                <w:tab w:val="left" w:pos="9000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Conservation Easement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tabs>
                <w:tab w:val="left" w:pos="9000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Deed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tabs>
                <w:tab w:val="left" w:pos="9000"/>
              </w:tabs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Baseline Documentation Report (2 copies minimum)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Promptly record deed or easement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(and any other transaction documents)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Baseline documentation report and filing report provided to grantor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Contemporaneous written acknowledgement for donation or bargain sale of easement or fee interest in keeping with IRS charitable contribution substantiation requirements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Contemporaneous written acknowledgement for financial contributions documenting restrictions, if any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File M-3/M-4 form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fee only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Land management plan for each conservation property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fee only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Form 8283 review and sign in conformance with </w:t>
            </w: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SLT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policy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Landowner appraisal review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Originals of all documents essential to the defense of the transaction moved to permanent, secure storage and copies filed per Recordkeeping Policy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Enroll easement in Terrafirma (application due February 1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each year)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Donor thanked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Publicize (newsletter, eblast, press release, Facebook) as appropriate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Notify insurance company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pos="900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Boundary and other property info added GIS, Landscape, and tablets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9000"/>
              </w:tabs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PROJECT NOTES</w:t>
            </w:r>
          </w:p>
        </w:tc>
      </w:tr>
      <w:tr>
        <w:trPr>
          <w:trHeight w:val="1210" w:hRule="atLeast"/>
        </w:trPr>
        <w:tc>
          <w:tcPr>
            <w:gridSpan w:val="3"/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left" w:pos="9000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smallCaps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40" w:top="1440" w:left="1008" w:right="1008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Approval Checklist - Revision 01-06-97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Source: Sample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 w:val="1"/>
    <w:rsid w:val="000478E0"/>
  </w:style>
  <w:style w:type="character" w:styleId="EndnoteReference">
    <w:name w:val="endnote reference"/>
    <w:semiHidden w:val="1"/>
    <w:rsid w:val="000478E0"/>
    <w:rPr>
      <w:vertAlign w:val="superscript"/>
    </w:rPr>
  </w:style>
  <w:style w:type="paragraph" w:styleId="BalloonText">
    <w:name w:val="Balloon Text"/>
    <w:basedOn w:val="Normal"/>
    <w:link w:val="BalloonTextChar"/>
    <w:rsid w:val="00866861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866861"/>
    <w:rPr>
      <w:rFonts w:ascii="Tahoma" w:cs="Tahoma" w:hAnsi="Tahoma"/>
      <w:sz w:val="16"/>
      <w:szCs w:val="16"/>
    </w:rPr>
  </w:style>
  <w:style w:type="character" w:styleId="Hyperlink">
    <w:name w:val="Hyperlink"/>
    <w:unhideWhenUsed w:val="1"/>
    <w:rsid w:val="00866861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5040F9"/>
  </w:style>
  <w:style w:type="character" w:styleId="FootnoteTextChar" w:customStyle="1">
    <w:name w:val="Footnote Text Char"/>
    <w:basedOn w:val="DefaultParagraphFont"/>
    <w:link w:val="FootnoteText"/>
    <w:rsid w:val="005040F9"/>
  </w:style>
  <w:style w:type="character" w:styleId="FootnoteReference">
    <w:name w:val="footnote reference"/>
    <w:rsid w:val="005040F9"/>
    <w:rPr>
      <w:vertAlign w:val="superscript"/>
    </w:rPr>
  </w:style>
  <w:style w:type="character" w:styleId="CommentReference">
    <w:name w:val="annotation reference"/>
    <w:rsid w:val="009D0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0648"/>
  </w:style>
  <w:style w:type="character" w:styleId="CommentTextChar" w:customStyle="1">
    <w:name w:val="Comment Text Char"/>
    <w:basedOn w:val="DefaultParagraphFont"/>
    <w:link w:val="CommentText"/>
    <w:rsid w:val="009D0648"/>
  </w:style>
  <w:style w:type="paragraph" w:styleId="CommentSubject">
    <w:name w:val="annotation subject"/>
    <w:basedOn w:val="CommentText"/>
    <w:next w:val="CommentText"/>
    <w:link w:val="CommentSubjectChar"/>
    <w:rsid w:val="009D0648"/>
    <w:rPr>
      <w:b w:val="1"/>
      <w:bCs w:val="1"/>
    </w:rPr>
  </w:style>
  <w:style w:type="character" w:styleId="CommentSubjectChar" w:customStyle="1">
    <w:name w:val="Comment Subject Char"/>
    <w:link w:val="CommentSubject"/>
    <w:rsid w:val="009D0648"/>
    <w:rPr>
      <w:b w:val="1"/>
      <w:bCs w:val="1"/>
    </w:rPr>
  </w:style>
  <w:style w:type="table" w:styleId="TableGrid">
    <w:name w:val="Table Grid"/>
    <w:basedOn w:val="TableNormal"/>
    <w:rsid w:val="0044118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poIfR5M8fiGXNydYhHdw5vYUQ==">AMUW2mW1tR0ag3CQsd87g7gVWGIK8LdsQT2KQDSSDP8H0f+8KiaTrfThy0GyWG7SaGV/fG7iAlhug646Hnn9K/jKdawLoW/x6a46e9hjTLSiaRm5W1vg+/A=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2021-04-20T17:20:00Z</dcterms:created>
  <dc:creator>John R. Hoffnagle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-508007760</vt:i4>
  </property>
</Properties>
</file>